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2013 73 vom 15. April 2014</w:t>
      </w:r>
    </w:p>
    <w:p>
      <w:r>
        <w:t>GR Gerichte, 2014-04-15, DE</w:t>
      </w:r>
    </w:p>
    <w:p>
      <w:r>
        <w:rPr>
          <w:b/>
        </w:rPr>
        <w:t xml:space="preserve">Quelle: </w:t>
      </w:r>
      <w:r>
        <w:t>https://mcp.opencaselaw.ch/entscheid/gr_gerichte_U 2013 73</w:t>
      </w:r>
    </w:p>
    <w:p>
      <w:r>
        <w:t>FR: GR_GERICHTE U 2013 73 du 15 avril 2014</w:t>
      </w:r>
    </w:p>
    <w:p>
      <w:r>
        <w:t>IT: GR_GERICHTE U 2013 73 del 15 aprile 2014</w:t>
      </w:r>
    </w:p>
    <w:p>
      <w:pPr>
        <w:pStyle w:val="Heading2"/>
      </w:pPr>
      <w:r>
        <w:t>Regeste</w:t>
      </w:r>
    </w:p>
    <w:p>
      <w:r>
        <w:t>Sozialhilfe | Beschwerde</w:t>
      </w:r>
    </w:p>
    <w:p>
      <w:pPr>
        <w:pStyle w:val="Heading2"/>
      </w:pPr>
      <w:r>
        <w:t>Erwägungen</w:t>
      </w:r>
    </w:p>
    <w:p>
      <w:r>
        <w:rPr>
          <w:b/>
        </w:rPr>
        <w:t>E. 3</w:t>
      </w:r>
    </w:p>
    <w:p>
      <w:r>
        <w:t>September 2013 wies die Stadt X._____ das Gesuch mangels Zustän- digkeit ab. Begründend führte sie aus, bei der N._____ handle es sich um ein Heim im Sinne von Art. 5 und 9 ZUG. Solange sich A._____ dort auf- halte, sei die Begründung eines Unterstützungswohnsitzes ausgeschlos- sen. Folglich sei die Stadt X._____ nicht für die Gewährung der öffentli- chen Unterstützung zuständig.</w:t>
      </w:r>
    </w:p>
    <w:p>
      <w:r>
        <w:rPr>
          <w:b/>
        </w:rPr>
        <w:t>E. 4</w:t>
      </w:r>
    </w:p>
    <w:p>
      <w:r>
        <w:t>Dagegen erhob A._____ (nachfolgend Beschwerdeführerin) am 26. Sep- tember 2013 Beschwerde an das Verwaltungsgericht des Kantons Graubünden mit den Anträgen auf Aufhebung der angefochtenen Verfü- gung vom 3. September 2013 und Verpflichtung der Stadt X._____, der</w:t>
      </w:r>
    </w:p>
    <w:p>
      <w:r>
        <w:t>- 3 - Beschwerdeführerin ab dem 1. August 2013 Sozialhilfe zu gewähren. Die Gemeinde Y._____ sei beizuladen. Ferner sei der Beschwerdeführerin die unentgeltliche Rechtspflege und Rechtsverbeiständung zu gewähren. Begründend machte die Beschwerdeführerin im Wesentlichen geltend, bei der begleiteten Wohngemeinschaft N._____ handle es sich rechtspre- chungsgemäss nicht um ein Heim im Sinne von Art. 5 ZUG bzw. Art. 6 UG. Folglich habe die Beschwerdeführerin mit Wohnsitznahme per Ende März 2013 (recte: Ende März 2011) einen neuen Unterstützungswohnsitz in X._____ begründet, weshalb die Stadt X._____ für die Gewährung von Sozialhilfe zuständig sei. Selbst wenn aber davon ausgegangen würde, der Eintritt in die N._____ begründe gemäss Art. 5 ZUG keinen Unterstüt- zungswohnsitz in X._____, sei die Stadt als Aufenthaltsort der Beschwer- deführerin verpflichtet, vorläufig und ohne Anerkennung einer Rechts- pflicht Sozialhilfe zu leisten und ihre Auslagen gemäss Art. 30 ff. ZUG beim Kanton V._____ geltend zu machen. Art. 13 ZUG sehe nämlich vor, dass der Aufenthaltsort bzw. die gemäss Art. 5 UG zuständige Aufent- haltsgemeinde sofortige Hilfe gewähren müsse.</w:t>
      </w:r>
    </w:p>
    <w:p>
      <w:r>
        <w:rPr>
          <w:b/>
        </w:rPr>
        <w:t>E. 5</w:t>
      </w:r>
    </w:p>
    <w:p>
      <w:r>
        <w:t>Die Stadt X._____ (nachfolgend Beschwerdegegnerin) beantragte in ihrer Vernehmlassung vom 18. November 2013 die Abweisung der Beschwer- de sowie die Beiladung des Kantonalen Sozialamtes Graubünden. Die Beschwerdeführerin sei im Jahr 2011 aus therapeutischen Gründen in die N._____ eingetreten. Dort habe sie zuerst an einem mehrwöchigen Kur- sprogramm teilgenommen und sich anschliessend als Bewohnerin ab- wechslungsweise in verschiedenen Wohngemeinschaften aufgehalten, wo sie in das Betreuungsprogramm der N._____ eingebunden gewesen sei und dies auch heute noch sei. Nach den Feststellungen des Kantona- len Sozialamtes Graubünden handle es sich bei der N._____ um ein Heim gemäss Art. 5 ZUG. Die Einrichtung verfüge denn auch über eine kantonale Bewilligung zum Betrieb einer solchen Therapiestation. Aus der</w:t>
      </w:r>
    </w:p>
    <w:p>
      <w:r>
        <w:t>- 4 - zwischen der N._____ und der Beschwerdeführerin abgeschlossenen „Vereinbarung Wohngemeinschaft Lebensschule“ sowie dem Angebot der N._____ gehe klar hervor, dass der rechtsprechungsgemäss weite Begriff des Heims vorliegend erfüllt sei. Folglich habe die Beschwerdeführerin mit ihrem Umzug nach X._____ keinen Unterstützungswohnsitz begründet. Der beschwerdeführerische Standpunkt, wonach die Gemeinde X._____ der Beschwerdeführerin als Aufenthaltsort ohne Anerkennung einer Rechtspflicht bis zur definitiven Klärung der Zuständigkeitsfrage Sozialhil- fe hätte leisten müssen, widerspreche der Rechtsauffassung des Kanto- nalen Sozialamtes Graubünden.</w:t>
      </w:r>
    </w:p>
    <w:p>
      <w:r>
        <w:rPr>
          <w:b/>
        </w:rPr>
        <w:t>E. 6</w:t>
      </w:r>
    </w:p>
    <w:p>
      <w:r>
        <w:t>a) Die angefochtene Verfügung vom 3. September 2013 erweist sich somit als rechtmässig, was zu ihrer Bestätigung und zur Abweisung der Be- schwerde führt. Bei diesem Ausgang des Verfahrens gehen die Gerichts- kosten gestützt auf Art. 73 Abs. 1 VRG zulasten der unterliegenden Be- schwerdeführerin. b) Die Beschwerdeführerin beantragt für das vorliegende Verfahren die un- entgeltliche Rechtspflege und Rechtsverbeiständung durch Dr. iur. An- drea Cantieni gemäss Art. 76 VRG. Die Voraussetzungen für die Bewilli- gung der unentgeltlichen Prozessführung und Rechtsverbeiständung sind in der Regel erfüllt, wenn der Prozess nicht aussichtslos erscheint, die Partei bedürftig und die Verbeiständung durch einen Anwalt oder eine Anwältin notwendig oder doch geboten ist (BGE 125 V 201 E.4a mit Hin- weisen).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 bend ist, ob eine Partei, die über die nötigen Mittel verfügt, sich bei ver-</w:t>
      </w:r>
    </w:p>
    <w:p>
      <w:r>
        <w:t>- 18 - nünftiger Überlegung zu einem Prozess entschliessen würde; eine Partei soll einen Prozess, den sie auf eigene Rechnung und Gefahr nicht führen würde, nicht allein deshalb anstrengen können, weil er nichts kostet (BGE 122 I 267 E.2b). c) Vorliegend kommt der Regionale Sozialdienst zum Schluss, dass der Be- schwerdeführerin ab dem 1. August 2013 ein monatlicher Anspruch auf öffentliche Unterstützung von Fr. 1‘359.20 zusteht (vgl. Bf-act. 13). Zu- sätzlich wird die Mittellosigkeit der Beschwerdeführerin noch durch das eingereichte Gesuch um unentgeltliche Rechtspflege mitsamt den ent- sprechenden Beilagen ausgewiesen, welches Einnahmen von monatlich knapp Fr. 2‘000.-- sowie Auslagen von monatlich Fr. 2‘404.10 ausweist. Neben einem Konto bei der Postfinance (Kontostand per 31. August 2013 Fr. 1‘398.97) verfügt die Beschwerdeführerin über kein Vermögen. Dem- nach ist die Voraussetzung der Bedürftigkeit bei der Beschwerdeführerin erfüllt. Im Übrigen erscheint die eingereichte Beschwerde nicht von vorn- herein aussichtslos. Aufgrund dieser Fakten werden die Gerichtskosten von Fr. 800.-- auf die Gerichtskasse genommen. Angesichts der Komple- xität der Materie erscheint zudem der Beizug eines Rechtsvertreters not- wendig und angemessen, weshalb auch dessen Kosten auf die Staats- kasse zu nehmen sind. Die Bemessung der Entschädigung richtet sich gemäss Art. 76 Abs. 3 VRG nach der Anwaltsgesetzgebung. Gemäss Art. 5 Abs. 1 der Verordnung über die Bemessung des Honorars der Rechtsanwältinnen und Rechtsanwälte (Honorarverordnung, HV; BR 310.250) gilt für den berechtigten Aufwand der unentgeltlichen Vertretung ein Stundenansatz von Fr. 200.--. Die eingereichte Honorarnote vom 24. Januar 2014 ist somit nur zu einem reduzierten Stundenansatz von Fr. 200.-- (statt Fr. 240.--) zu genehmigen, woraus sich eine ausserge- richtliche Entschädigung von gesamthaft Fr. 3‘906.75 (17.56 h x Fr. 200.-- [= Fr. 3‘512.--], zuzüglich Kleinspesenpauschale von 3 %[= Fr. 105.35]</w:t>
      </w:r>
    </w:p>
    <w:p>
      <w:r>
        <w:t>- 19 - sowie 8 % MWST von Fr. 3‘617.35 [= Fr. 289.40]) ergibt. Der obsiegen- den Beschwerdegegnerin steht keine Parteientschädigung zu, da sie in ihrem amtlichen Wirkungskreis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